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</w:pPr>
      <w:r>
        <w:rPr>
          <w:b/>
          <w:bCs/>
          <w:color w:val="1E2761"/>
          <w:sz w:val="44"/>
          <w:szCs w:val="44"/>
        </w:rPr>
        <w:t xml:space="preserve">ANKKA — Executive Summary</w:t>
      </w:r>
    </w:p>
    <w:p>
      <w:pPr>
        <w:spacing w:after="300"/>
      </w:pPr>
      <w:r>
        <w:rPr>
          <w:i/>
          <w:iCs/>
          <w:color w:val="555555"/>
          <w:sz w:val="24"/>
          <w:szCs w:val="24"/>
        </w:rPr>
        <w:t xml:space="preserve">AI-Native Design Platform for Footwear and Accessories</w:t>
      </w:r>
    </w:p>
    <w:p>
      <w:pPr>
        <w:pStyle w:val="Heading1"/>
        <w:spacing w:after="150" w:before="300"/>
      </w:pPr>
      <w:r>
        <w:rPr>
          <w:b/>
          <w:bCs/>
          <w:color w:val="1E2761"/>
          <w:sz w:val="30"/>
          <w:szCs w:val="30"/>
        </w:rPr>
        <w:t xml:space="preserve">Snapshot</w:t>
      </w:r>
    </w:p>
    <w:p>
      <w:pPr>
        <w:spacing w:after="150"/>
      </w:pPr>
      <w:r>
        <w:rPr>
          <w:sz w:val="22"/>
          <w:szCs w:val="22"/>
        </w:rPr>
        <w:t xml:space="preserve">Industry: AI design platform for footwear and accessories</w:t>
      </w:r>
    </w:p>
    <w:p>
      <w:pPr>
        <w:spacing w:after="150"/>
      </w:pPr>
      <w:r>
        <w:rPr>
          <w:sz w:val="22"/>
          <w:szCs w:val="22"/>
        </w:rPr>
        <w:t xml:space="preserve">Product: AI-driven concept generation and product development workflow, grounded in real component data and market parameters</w:t>
      </w:r>
    </w:p>
    <w:p>
      <w:pPr>
        <w:spacing w:after="150"/>
      </w:pPr>
      <w:r>
        <w:rPr>
          <w:sz w:val="22"/>
          <w:szCs w:val="22"/>
        </w:rPr>
        <w:t xml:space="preserve">Business model: SaaS + enterprise licensing</w:t>
      </w:r>
    </w:p>
    <w:p>
      <w:pPr>
        <w:spacing w:after="150"/>
      </w:pPr>
      <w:r>
        <w:rPr>
          <w:sz w:val="22"/>
          <w:szCs w:val="22"/>
        </w:rPr>
        <w:t xml:space="preserve">Target customers: secondary/tertiary footwear manufacturers, contract factories, SME brands</w:t>
      </w:r>
    </w:p>
    <w:p>
      <w:pPr>
        <w:spacing w:after="150"/>
      </w:pPr>
      <w:r>
        <w:rPr>
          <w:sz w:val="22"/>
          <w:szCs w:val="22"/>
        </w:rPr>
        <w:t xml:space="preserve">Primary markets: Italy, Turkey, expanding to Spain/Portugal; component sourcing partnerships in China</w:t>
      </w:r>
    </w:p>
    <w:p>
      <w:pPr>
        <w:spacing w:after="150"/>
      </w:pPr>
      <w:r>
        <w:rPr>
          <w:sz w:val="22"/>
          <w:szCs w:val="22"/>
        </w:rPr>
        <w:t xml:space="preserve">Stage: product redeployment and pilot partnerships</w:t>
      </w:r>
    </w:p>
    <w:p>
      <w:pPr>
        <w:spacing w:after="150"/>
      </w:pPr>
      <w:r>
        <w:rPr>
          <w:sz w:val="22"/>
          <w:szCs w:val="22"/>
        </w:rPr>
        <w:t xml:space="preserve">Raise: €320,000 seed round for 10% equity</w:t>
      </w:r>
    </w:p>
    <w:p>
      <w:pPr>
        <w:pStyle w:val="Heading1"/>
        <w:spacing w:after="150" w:before="300"/>
      </w:pPr>
      <w:r>
        <w:rPr>
          <w:b/>
          <w:bCs/>
          <w:color w:val="1E2761"/>
          <w:sz w:val="30"/>
          <w:szCs w:val="30"/>
        </w:rPr>
        <w:t xml:space="preserve">1. Company Overview</w:t>
      </w:r>
    </w:p>
    <w:p>
      <w:pPr>
        <w:spacing w:after="150"/>
      </w:pPr>
      <w:r>
        <w:rPr>
          <w:sz w:val="22"/>
          <w:szCs w:val="22"/>
        </w:rPr>
        <w:t xml:space="preserve">ANKKA is an AI-native platform for footwear and accessories design that enables brands, manufacturers, and design studios to generate footwear concepts grounded in real component data and real market parameters — not demand forecasting, but structured, market-aware design generation.</w:t>
      </w:r>
    </w:p>
    <w:p>
      <w:pPr>
        <w:spacing w:after="150"/>
      </w:pPr>
      <w:r>
        <w:rPr>
          <w:sz w:val="22"/>
          <w:szCs w:val="22"/>
        </w:rPr>
        <w:t xml:space="preserve">The platform targets secondary and tertiary market manufacturers who follow superbrand trends with a 1-2 season lag and lack the resources to track sharply diverging regional preferences (e.g. Milan vs. Istanbul). ANKKA gives them the region-specific reference data and real component libraries that this segment otherwise cannot access.</w:t>
      </w:r>
    </w:p>
    <w:p>
      <w:pPr>
        <w:pStyle w:val="Heading1"/>
        <w:spacing w:after="150" w:before="300"/>
      </w:pPr>
      <w:r>
        <w:rPr>
          <w:b/>
          <w:bCs/>
          <w:color w:val="1E2761"/>
          <w:sz w:val="30"/>
          <w:szCs w:val="30"/>
        </w:rPr>
        <w:t xml:space="preserve">2. Problem</w:t>
      </w:r>
    </w:p>
    <w:p>
      <w:pPr>
        <w:spacing w:after="150"/>
      </w:pPr>
      <w:r>
        <w:rPr>
          <w:sz w:val="22"/>
          <w:szCs w:val="22"/>
        </w:rPr>
        <w:t xml:space="preserve">Footwear design and product development remain slow, fragmented, and expensive for the segment ANKKA serves. Superbrands can afford constant live trend-testing and rapid collection cycles — no AI can out-guess that process. Secondary/tertiary manufacturers instead follow those trends with a lag, but lack the resources to adapt collections to sharply different regional preferences or to access real component data at the point of design.</w:t>
      </w:r>
    </w:p>
    <w:p>
      <w:pPr>
        <w:pStyle w:val="Heading1"/>
        <w:spacing w:after="150" w:before="300"/>
      </w:pPr>
      <w:r>
        <w:rPr>
          <w:b/>
          <w:bCs/>
          <w:color w:val="1E2761"/>
          <w:sz w:val="30"/>
          <w:szCs w:val="30"/>
        </w:rPr>
        <w:t xml:space="preserve">3. Solution</w:t>
      </w:r>
    </w:p>
    <w:p>
      <w:pPr>
        <w:spacing w:after="150"/>
      </w:pPr>
      <w:r>
        <w:rPr>
          <w:sz w:val="22"/>
          <w:szCs w:val="22"/>
        </w:rPr>
        <w:t xml:space="preserve">ANKKA generates footwear concepts from real, sourced component data (soles, construction elements from manufacturers in Turkey, Italy, and China) combined with market parameters — geography, price segment, brand positioning — as generation inputs. This is not a demand-forecasting tool: it reduces R&amp;D time and cost for brands and manufacturers who need production-ready, market-aware concepts, not trend predictions.</w:t>
      </w:r>
    </w:p>
    <w:p>
      <w:pPr>
        <w:pStyle w:val="Heading1"/>
        <w:spacing w:after="150" w:before="300"/>
      </w:pPr>
      <w:r>
        <w:rPr>
          <w:b/>
          <w:bCs/>
          <w:color w:val="1E2761"/>
          <w:sz w:val="30"/>
          <w:szCs w:val="30"/>
        </w:rPr>
        <w:t xml:space="preserve">4. Product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AI-powered design generation grounded in real, sourced components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Market-parameter inputs: geography, price segment, brand positioning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Structured design workflow for non-technical users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Cloud-based collaboration and access</w:t>
      </w:r>
    </w:p>
    <w:p>
      <w:pPr>
        <w:spacing w:after="150"/>
      </w:pPr>
      <w:r>
        <w:rPr>
          <w:sz w:val="22"/>
          <w:szCs w:val="22"/>
        </w:rPr>
        <w:t xml:space="preserve">Unlike generic image-generation tools or internal brand AI tools, ANKKA is built specifically for the secondary/tertiary manufacturing segment, with a real, sourced component database as its core differentiator.</w:t>
      </w:r>
    </w:p>
    <w:p>
      <w:pPr>
        <w:pStyle w:val="Heading1"/>
        <w:spacing w:after="150" w:before="300"/>
      </w:pPr>
      <w:r>
        <w:rPr>
          <w:b/>
          <w:bCs/>
          <w:color w:val="1E2761"/>
          <w:sz w:val="30"/>
          <w:szCs w:val="30"/>
        </w:rPr>
        <w:t xml:space="preserve">5. Market Opportunity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shd w:fill="1E2761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Metric</w:t>
            </w:r>
          </w:p>
        </w:tc>
        <w:tc>
          <w:tcPr>
            <w:tcW w:type="dxa" w:w="4500"/>
            <w:shd w:fill="1E2761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500"/>
            <w:shd w:fill="FFFFFF" w:val="clear"/>
          </w:tcPr>
          <w:p>
            <w:r>
              <w:rPr>
                <w:sz w:val="20"/>
                <w:szCs w:val="20"/>
              </w:rPr>
              <w:t xml:space="preserve">Global footwear market</w:t>
            </w:r>
          </w:p>
        </w:tc>
        <w:tc>
          <w:tcPr>
            <w:tcW w:type="dxa" w:w="4500"/>
            <w:shd w:fill="FFFFFF" w:val="clear"/>
          </w:tcPr>
          <w:p>
            <w:r>
              <w:rPr>
                <w:sz w:val="20"/>
                <w:szCs w:val="20"/>
              </w:rPr>
              <w:t xml:space="preserve">€380B</w:t>
            </w:r>
          </w:p>
        </w:tc>
      </w:tr>
      <w:tr>
        <w:tc>
          <w:tcPr>
            <w:tcW w:type="dxa" w:w="4500"/>
            <w:shd w:fill="F2F2F2" w:val="clear"/>
          </w:tcPr>
          <w:p>
            <w:r>
              <w:rPr>
                <w:sz w:val="20"/>
                <w:szCs w:val="20"/>
              </w:rPr>
              <w:t xml:space="preserve">Annual product development spend</w:t>
            </w:r>
          </w:p>
        </w:tc>
        <w:tc>
          <w:tcPr>
            <w:tcW w:type="dxa" w:w="4500"/>
            <w:shd w:fill="F2F2F2" w:val="clear"/>
          </w:tcPr>
          <w:p>
            <w:r>
              <w:rPr>
                <w:sz w:val="20"/>
                <w:szCs w:val="20"/>
              </w:rPr>
              <w:t xml:space="preserve">€30B</w:t>
            </w:r>
          </w:p>
        </w:tc>
      </w:tr>
      <w:tr>
        <w:tc>
          <w:tcPr>
            <w:tcW w:type="dxa" w:w="4500"/>
            <w:shd w:fill="FFFFFF" w:val="clear"/>
          </w:tcPr>
          <w:p>
            <w:r>
              <w:rPr>
                <w:sz w:val="20"/>
                <w:szCs w:val="20"/>
              </w:rPr>
              <w:t xml:space="preserve">Year 5 exit ARR (bottom-up model)</w:t>
            </w:r>
          </w:p>
        </w:tc>
        <w:tc>
          <w:tcPr>
            <w:tcW w:type="dxa" w:w="4500"/>
            <w:shd w:fill="FFFFFF" w:val="clear"/>
          </w:tcPr>
          <w:p>
            <w:r>
              <w:rPr>
                <w:sz w:val="20"/>
                <w:szCs w:val="20"/>
              </w:rPr>
              <w:t xml:space="preserve">~€12.1M</w:t>
            </w:r>
          </w:p>
        </w:tc>
      </w:tr>
    </w:tbl>
    <w:p>
      <w:pPr>
        <w:pStyle w:val="Heading1"/>
        <w:spacing w:after="150" w:before="300"/>
      </w:pPr>
      <w:r>
        <w:rPr>
          <w:b/>
          <w:bCs/>
          <w:color w:val="1E2761"/>
          <w:sz w:val="30"/>
          <w:szCs w:val="30"/>
        </w:rPr>
        <w:t xml:space="preserve">6. Go-to-Market</w:t>
      </w:r>
    </w:p>
    <w:p>
      <w:pPr>
        <w:spacing w:after="150"/>
      </w:pPr>
      <w:r>
        <w:rPr>
          <w:sz w:val="22"/>
          <w:szCs w:val="22"/>
        </w:rPr>
        <w:t xml:space="preserve">Direct B2B engagement is the primary growth lever: trade fairs (Lineapelle Milan, MICAM, AYMOD, AYSAF, and MOMAD Madrid for Spain/Portugal entry), direct client meetings with manufacturers, and referrals from early customers. A dedicated Sales Manager joins from Year 2, once initial revenue validates the model; Year 1 sales are led directly by the founders.</w:t>
      </w:r>
    </w:p>
    <w:p>
      <w:pPr>
        <w:spacing w:after="150"/>
      </w:pPr>
      <w:r>
        <w:rPr>
          <w:sz w:val="22"/>
          <w:szCs w:val="22"/>
        </w:rPr>
        <w:t xml:space="preserve">Component sourcing and market development in China (Guangzhou, Wenzhou — major global footwear manufacturing clusters) serves a dual purpose: building the real component database at the core of the product, and developing Chinese manufacturers as a future customer segment.</w:t>
      </w:r>
    </w:p>
    <w:p>
      <w:pPr>
        <w:pStyle w:val="Heading1"/>
        <w:spacing w:after="150" w:before="300"/>
      </w:pPr>
      <w:r>
        <w:rPr>
          <w:b/>
          <w:bCs/>
          <w:color w:val="1E2761"/>
          <w:sz w:val="30"/>
          <w:szCs w:val="30"/>
        </w:rPr>
        <w:t xml:space="preserve">7. Traction and Development Status</w:t>
      </w:r>
    </w:p>
    <w:p>
      <w:pPr>
        <w:spacing w:after="150"/>
      </w:pPr>
      <w:r>
        <w:rPr>
          <w:sz w:val="22"/>
          <w:szCs w:val="22"/>
        </w:rPr>
        <w:t xml:space="preserve">ANKKA has already completed core product concept development, platform architecture design, and financial modeling. A working MVP was built and tested with real B2B clients on ankka.eu between 2022 and 2024; the site is currently being redeployed.</w:t>
      </w:r>
    </w:p>
    <w:p>
      <w:pPr>
        <w:spacing w:after="150"/>
      </w:pPr>
      <w:r>
        <w:rPr>
          <w:sz w:val="22"/>
          <w:szCs w:val="22"/>
        </w:rPr>
        <w:t xml:space="preserve">Commercial engagement already includes 24 Turkish manufacturers and component suppliers in active outreach, and 28 verified EU footwear brands identified as target customers across Italy, Spain, and Portugal — the base for Year 1 direct sales.</w:t>
      </w:r>
    </w:p>
    <w:p>
      <w:pPr>
        <w:pStyle w:val="Heading1"/>
        <w:spacing w:after="150" w:before="300"/>
      </w:pPr>
      <w:r>
        <w:rPr>
          <w:b/>
          <w:bCs/>
          <w:color w:val="1E2761"/>
          <w:sz w:val="30"/>
          <w:szCs w:val="30"/>
        </w:rPr>
        <w:t xml:space="preserve">8. Financial Model — Built Bottom-Up</w:t>
      </w:r>
    </w:p>
    <w:p>
      <w:pPr>
        <w:spacing w:after="150"/>
      </w:pPr>
      <w:r>
        <w:rPr>
          <w:sz w:val="22"/>
          <w:szCs w:val="22"/>
        </w:rPr>
        <w:t xml:space="preserve">Following investor feedback, the 5-year model is built from a sales funnel and a named team plan, not a top-down growth curve. Year 1 assumes founders selling part-time over a ~4-5 month active window post-platform-rebuild, converting the known 52-account pipeline at ~15%. From Year 2, a dedicated Sales Manager and expanded trade fair presence drive growth; annual churn is modeled at 7%, reflecting the recurring, workflow-embedded nature of the product.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800"/>
        <w:gridCol w:w="1800"/>
        <w:gridCol w:w="1800"/>
        <w:gridCol w:w="1800"/>
      </w:tblGrid>
      <w:tr>
        <w:tc>
          <w:tcPr>
            <w:tcW w:type="dxa" w:w="1800"/>
            <w:shd w:fill="1E2761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Year</w:t>
            </w:r>
          </w:p>
        </w:tc>
        <w:tc>
          <w:tcPr>
            <w:tcW w:type="dxa" w:w="1800"/>
            <w:shd w:fill="1E2761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Customers (EOY)</w:t>
            </w:r>
          </w:p>
        </w:tc>
        <w:tc>
          <w:tcPr>
            <w:tcW w:type="dxa" w:w="1800"/>
            <w:shd w:fill="1E2761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Revenue</w:t>
            </w:r>
          </w:p>
        </w:tc>
        <w:tc>
          <w:tcPr>
            <w:tcW w:type="dxa" w:w="1800"/>
            <w:shd w:fill="1E2761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Profit/(Loss)</w:t>
            </w:r>
          </w:p>
        </w:tc>
        <w:tc>
          <w:tcPr>
            <w:tcW w:type="dxa" w:w="1800"/>
            <w:shd w:fill="1E2761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Margin</w:t>
            </w:r>
          </w:p>
        </w:tc>
      </w:tr>
      <w:tr>
        <w:tc>
          <w:tcPr>
            <w:tcW w:type="dxa" w:w="1800"/>
            <w:shd w:fill="FFFFFF" w:val="clear"/>
          </w:tcPr>
          <w:p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1800"/>
            <w:shd w:fill="FFFFFF" w:val="clear"/>
          </w:tcPr>
          <w:p>
            <w:r>
              <w:rPr>
                <w:sz w:val="20"/>
                <w:szCs w:val="20"/>
              </w:rPr>
              <w:t xml:space="preserve">10</w:t>
            </w:r>
          </w:p>
        </w:tc>
        <w:tc>
          <w:tcPr>
            <w:tcW w:type="dxa" w:w="1800"/>
            <w:shd w:fill="FFFFFF" w:val="clear"/>
          </w:tcPr>
          <w:p>
            <w:r>
              <w:rPr>
                <w:sz w:val="20"/>
                <w:szCs w:val="20"/>
              </w:rPr>
              <w:t xml:space="preserve">€60K</w:t>
            </w:r>
          </w:p>
        </w:tc>
        <w:tc>
          <w:tcPr>
            <w:tcW w:type="dxa" w:w="1800"/>
            <w:shd w:fill="FFFFFF" w:val="clear"/>
          </w:tcPr>
          <w:p>
            <w:r>
              <w:rPr>
                <w:sz w:val="20"/>
                <w:szCs w:val="20"/>
              </w:rPr>
              <w:t xml:space="preserve">-€69K</w:t>
            </w:r>
          </w:p>
        </w:tc>
        <w:tc>
          <w:tcPr>
            <w:tcW w:type="dxa" w:w="1800"/>
            <w:shd w:fill="FFFFFF" w:val="clear"/>
          </w:tcPr>
          <w:p>
            <w:r>
              <w:rPr>
                <w:sz w:val="20"/>
                <w:szCs w:val="20"/>
              </w:rPr>
              <w:t xml:space="preserve">-115%</w:t>
            </w:r>
          </w:p>
        </w:tc>
      </w:tr>
      <w:tr>
        <w:tc>
          <w:tcPr>
            <w:tcW w:type="dxa" w:w="1800"/>
            <w:shd w:fill="F2F2F2" w:val="clear"/>
          </w:tcPr>
          <w:p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1800"/>
            <w:shd w:fill="F2F2F2" w:val="clear"/>
          </w:tcPr>
          <w:p>
            <w:r>
              <w:rPr>
                <w:sz w:val="20"/>
                <w:szCs w:val="20"/>
              </w:rPr>
              <w:t xml:space="preserve">32</w:t>
            </w:r>
          </w:p>
        </w:tc>
        <w:tc>
          <w:tcPr>
            <w:tcW w:type="dxa" w:w="1800"/>
            <w:shd w:fill="F2F2F2" w:val="clear"/>
          </w:tcPr>
          <w:p>
            <w:r>
              <w:rPr>
                <w:sz w:val="20"/>
                <w:szCs w:val="20"/>
              </w:rPr>
              <w:t xml:space="preserve">€738K</w:t>
            </w:r>
          </w:p>
        </w:tc>
        <w:tc>
          <w:tcPr>
            <w:tcW w:type="dxa" w:w="1800"/>
            <w:shd w:fill="F2F2F2" w:val="clear"/>
          </w:tcPr>
          <w:p>
            <w:r>
              <w:rPr>
                <w:sz w:val="20"/>
                <w:szCs w:val="20"/>
              </w:rPr>
              <w:t xml:space="preserve">€357K</w:t>
            </w:r>
          </w:p>
        </w:tc>
        <w:tc>
          <w:tcPr>
            <w:tcW w:type="dxa" w:w="1800"/>
            <w:shd w:fill="F2F2F2" w:val="clear"/>
          </w:tcPr>
          <w:p>
            <w:r>
              <w:rPr>
                <w:sz w:val="20"/>
                <w:szCs w:val="20"/>
              </w:rPr>
              <w:t xml:space="preserve">48%</w:t>
            </w:r>
          </w:p>
        </w:tc>
      </w:tr>
      <w:tr>
        <w:tc>
          <w:tcPr>
            <w:tcW w:type="dxa" w:w="1800"/>
            <w:shd w:fill="FFFFFF" w:val="clear"/>
          </w:tcPr>
          <w:p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1800"/>
            <w:shd w:fill="FFFFFF" w:val="clear"/>
          </w:tcPr>
          <w:p>
            <w:r>
              <w:rPr>
                <w:sz w:val="20"/>
                <w:szCs w:val="20"/>
              </w:rPr>
              <w:t xml:space="preserve">80</w:t>
            </w:r>
          </w:p>
        </w:tc>
        <w:tc>
          <w:tcPr>
            <w:tcW w:type="dxa" w:w="1800"/>
            <w:shd w:fill="FFFFFF" w:val="clear"/>
          </w:tcPr>
          <w:p>
            <w:r>
              <w:rPr>
                <w:sz w:val="20"/>
                <w:szCs w:val="20"/>
              </w:rPr>
              <w:t xml:space="preserve">€1.98M</w:t>
            </w:r>
          </w:p>
        </w:tc>
        <w:tc>
          <w:tcPr>
            <w:tcW w:type="dxa" w:w="1800"/>
            <w:shd w:fill="FFFFFF" w:val="clear"/>
          </w:tcPr>
          <w:p>
            <w:r>
              <w:rPr>
                <w:sz w:val="20"/>
                <w:szCs w:val="20"/>
              </w:rPr>
              <w:t xml:space="preserve">€1.30M</w:t>
            </w:r>
          </w:p>
        </w:tc>
        <w:tc>
          <w:tcPr>
            <w:tcW w:type="dxa" w:w="1800"/>
            <w:shd w:fill="FFFFFF" w:val="clear"/>
          </w:tcPr>
          <w:p>
            <w:r>
              <w:rPr>
                <w:sz w:val="20"/>
                <w:szCs w:val="20"/>
              </w:rPr>
              <w:t xml:space="preserve">66%</w:t>
            </w:r>
          </w:p>
        </w:tc>
      </w:tr>
      <w:tr>
        <w:tc>
          <w:tcPr>
            <w:tcW w:type="dxa" w:w="1800"/>
            <w:shd w:fill="F2F2F2" w:val="clear"/>
          </w:tcPr>
          <w:p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1800"/>
            <w:shd w:fill="F2F2F2" w:val="clear"/>
          </w:tcPr>
          <w:p>
            <w:r>
              <w:rPr>
                <w:sz w:val="20"/>
                <w:szCs w:val="20"/>
              </w:rPr>
              <w:t xml:space="preserve">173</w:t>
            </w:r>
          </w:p>
        </w:tc>
        <w:tc>
          <w:tcPr>
            <w:tcW w:type="dxa" w:w="1800"/>
            <w:shd w:fill="F2F2F2" w:val="clear"/>
          </w:tcPr>
          <w:p>
            <w:r>
              <w:rPr>
                <w:sz w:val="20"/>
                <w:szCs w:val="20"/>
              </w:rPr>
              <w:t xml:space="preserve">€4.44M</w:t>
            </w:r>
          </w:p>
        </w:tc>
        <w:tc>
          <w:tcPr>
            <w:tcW w:type="dxa" w:w="1800"/>
            <w:shd w:fill="F2F2F2" w:val="clear"/>
          </w:tcPr>
          <w:p>
            <w:r>
              <w:rPr>
                <w:sz w:val="20"/>
                <w:szCs w:val="20"/>
              </w:rPr>
              <w:t xml:space="preserve">€3.16M</w:t>
            </w:r>
          </w:p>
        </w:tc>
        <w:tc>
          <w:tcPr>
            <w:tcW w:type="dxa" w:w="1800"/>
            <w:shd w:fill="F2F2F2" w:val="clear"/>
          </w:tcPr>
          <w:p>
            <w:r>
              <w:rPr>
                <w:sz w:val="20"/>
                <w:szCs w:val="20"/>
              </w:rPr>
              <w:t xml:space="preserve">71%</w:t>
            </w:r>
          </w:p>
        </w:tc>
      </w:tr>
      <w:tr>
        <w:tc>
          <w:tcPr>
            <w:tcW w:type="dxa" w:w="1800"/>
            <w:shd w:fill="FFFFFF" w:val="clear"/>
          </w:tcPr>
          <w:p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type="dxa" w:w="1800"/>
            <w:shd w:fill="FFFFFF" w:val="clear"/>
          </w:tcPr>
          <w:p>
            <w:r>
              <w:rPr>
                <w:sz w:val="20"/>
                <w:szCs w:val="20"/>
              </w:rPr>
              <w:t xml:space="preserve">337</w:t>
            </w:r>
          </w:p>
        </w:tc>
        <w:tc>
          <w:tcPr>
            <w:tcW w:type="dxa" w:w="1800"/>
            <w:shd w:fill="FFFFFF" w:val="clear"/>
          </w:tcPr>
          <w:p>
            <w:r>
              <w:rPr>
                <w:sz w:val="20"/>
                <w:szCs w:val="20"/>
              </w:rPr>
              <w:t xml:space="preserve">€8.96M</w:t>
            </w:r>
          </w:p>
        </w:tc>
        <w:tc>
          <w:tcPr>
            <w:tcW w:type="dxa" w:w="1800"/>
            <w:shd w:fill="FFFFFF" w:val="clear"/>
          </w:tcPr>
          <w:p>
            <w:r>
              <w:rPr>
                <w:sz w:val="20"/>
                <w:szCs w:val="20"/>
              </w:rPr>
              <w:t xml:space="preserve">€6.75M</w:t>
            </w:r>
          </w:p>
        </w:tc>
        <w:tc>
          <w:tcPr>
            <w:tcW w:type="dxa" w:w="1800"/>
            <w:shd w:fill="FFFFFF" w:val="clear"/>
          </w:tcPr>
          <w:p>
            <w:r>
              <w:rPr>
                <w:sz w:val="20"/>
                <w:szCs w:val="20"/>
              </w:rPr>
              <w:t xml:space="preserve">75%</w:t>
            </w:r>
          </w:p>
        </w:tc>
      </w:tr>
    </w:tbl>
    <w:p>
      <w:pPr>
        <w:spacing w:after="150" w:before="100"/>
      </w:pPr>
      <w:r>
        <w:rPr>
          <w:i/>
          <w:iCs/>
          <w:color w:val="555555"/>
          <w:sz w:val="20"/>
          <w:szCs w:val="20"/>
        </w:rPr>
        <w:t xml:space="preserve">Year 1 shows a planned net loss (-€69K) as the platform relaunches and the initial team is staffed — normal for a seed-stage SaaS company, and fully covered by the raise. The company turns cash-flow-positive from Year 2.</w:t>
      </w:r>
    </w:p>
    <w:p>
      <w:pPr>
        <w:spacing w:after="150"/>
      </w:pPr>
      <w:r>
        <w:rPr>
          <w:sz w:val="22"/>
          <w:szCs w:val="22"/>
        </w:rPr>
        <w:t xml:space="preserve">Unit economics: ARPU €2,999/month. CAC — computed explicitly from trade fair, direct meeting, China sourcing/sales trip, and sales headcount costs divided by new customers each year — ranges from €1,200 (Year 1, largely founder-time-driven) to €3,000 (Year 2, first full year with paid sales headcount), declining to €1,528 by Year 5 as channels mature. LTV = ARPU × 24 months (a conservative fixed assumption, below what the 7% churn rate would imply).</w:t>
      </w:r>
    </w:p>
    <w:p>
      <w:pPr>
        <w:pStyle w:val="Heading1"/>
        <w:spacing w:after="150" w:before="300"/>
      </w:pPr>
      <w:r>
        <w:rPr>
          <w:b/>
          <w:bCs/>
          <w:color w:val="1E2761"/>
          <w:sz w:val="30"/>
          <w:szCs w:val="30"/>
        </w:rPr>
        <w:t xml:space="preserve">9. Team &amp; Payroll (Year 1)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c>
          <w:tcPr>
            <w:tcW w:type="dxa" w:w="3000"/>
            <w:shd w:fill="1E2761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tcW w:type="dxa" w:w="3000"/>
            <w:shd w:fill="1E2761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3000"/>
            <w:shd w:fill="1E2761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Year 1 Compensation</w:t>
            </w:r>
          </w:p>
        </w:tc>
      </w:tr>
      <w:tr>
        <w:tc>
          <w:tcPr>
            <w:tcW w:type="dxa" w:w="3000"/>
            <w:shd w:fill="FFFFFF" w:val="clear"/>
          </w:tcPr>
          <w:p>
            <w:r>
              <w:rPr>
                <w:sz w:val="20"/>
                <w:szCs w:val="20"/>
              </w:rPr>
              <w:t xml:space="preserve">Pavel Komarov</w:t>
            </w:r>
          </w:p>
        </w:tc>
        <w:tc>
          <w:tcPr>
            <w:tcW w:type="dxa" w:w="3000"/>
            <w:shd w:fill="FFFFFF" w:val="clear"/>
          </w:tcPr>
          <w:p>
            <w:r>
              <w:rPr>
                <w:sz w:val="20"/>
                <w:szCs w:val="20"/>
              </w:rPr>
              <w:t xml:space="preserve">CEO</w:t>
            </w:r>
          </w:p>
        </w:tc>
        <w:tc>
          <w:tcPr>
            <w:tcW w:type="dxa" w:w="3000"/>
            <w:shd w:fill="FFFFFF" w:val="clear"/>
          </w:tcPr>
          <w:p>
            <w:r>
              <w:rPr>
                <w:sz w:val="20"/>
                <w:szCs w:val="20"/>
              </w:rPr>
              <w:t xml:space="preserve">€30,000</w:t>
            </w:r>
          </w:p>
        </w:tc>
      </w:tr>
      <w:tr>
        <w:tc>
          <w:tcPr>
            <w:tcW w:type="dxa" w:w="3000"/>
            <w:shd w:fill="F2F2F2" w:val="clear"/>
          </w:tcPr>
          <w:p>
            <w:r>
              <w:rPr>
                <w:sz w:val="20"/>
                <w:szCs w:val="20"/>
              </w:rPr>
              <w:t xml:space="preserve">Irina Kremen</w:t>
            </w:r>
          </w:p>
        </w:tc>
        <w:tc>
          <w:tcPr>
            <w:tcW w:type="dxa" w:w="3000"/>
            <w:shd w:fill="F2F2F2" w:val="clear"/>
          </w:tcPr>
          <w:p>
            <w:r>
              <w:rPr>
                <w:sz w:val="20"/>
                <w:szCs w:val="20"/>
              </w:rPr>
              <w:t xml:space="preserve">CTO (Co-founder)</w:t>
            </w:r>
          </w:p>
        </w:tc>
        <w:tc>
          <w:tcPr>
            <w:tcW w:type="dxa" w:w="3000"/>
            <w:shd w:fill="F2F2F2" w:val="clear"/>
          </w:tcPr>
          <w:p>
            <w:r>
              <w:rPr>
                <w:sz w:val="20"/>
                <w:szCs w:val="20"/>
              </w:rPr>
              <w:t xml:space="preserve">€35,000</w:t>
            </w:r>
          </w:p>
        </w:tc>
      </w:tr>
      <w:tr>
        <w:tc>
          <w:tcPr>
            <w:tcW w:type="dxa" w:w="3000"/>
            <w:shd w:fill="FFFFFF" w:val="clear"/>
          </w:tcPr>
          <w:p>
            <w:r>
              <w:rPr>
                <w:sz w:val="20"/>
                <w:szCs w:val="20"/>
              </w:rPr>
              <w:t xml:space="preserve">Daria Kostyuk</w:t>
            </w:r>
          </w:p>
        </w:tc>
        <w:tc>
          <w:tcPr>
            <w:tcW w:type="dxa" w:w="3000"/>
            <w:shd w:fill="FFFFFF" w:val="clear"/>
          </w:tcPr>
          <w:p>
            <w:r>
              <w:rPr>
                <w:sz w:val="20"/>
                <w:szCs w:val="20"/>
              </w:rPr>
              <w:t xml:space="preserve">CFO / Investor Relations</w:t>
            </w:r>
          </w:p>
        </w:tc>
        <w:tc>
          <w:tcPr>
            <w:tcW w:type="dxa" w:w="3000"/>
            <w:shd w:fill="FFFFFF" w:val="clear"/>
          </w:tcPr>
          <w:p>
            <w:r>
              <w:rPr>
                <w:sz w:val="20"/>
                <w:szCs w:val="20"/>
              </w:rPr>
              <w:t xml:space="preserve">€20,000 + 5% option pool</w:t>
            </w:r>
          </w:p>
        </w:tc>
      </w:tr>
      <w:tr>
        <w:tc>
          <w:tcPr>
            <w:tcW w:type="dxa" w:w="3000"/>
            <w:shd w:fill="F2F2F2" w:val="clear"/>
          </w:tcPr>
          <w:p>
            <w:r>
              <w:rPr>
                <w:sz w:val="20"/>
                <w:szCs w:val="20"/>
              </w:rPr>
              <w:t xml:space="preserve">Artem Kuchin</w:t>
            </w:r>
          </w:p>
        </w:tc>
        <w:tc>
          <w:tcPr>
            <w:tcW w:type="dxa" w:w="3000"/>
            <w:shd w:fill="F2F2F2" w:val="clear"/>
          </w:tcPr>
          <w:p>
            <w:r>
              <w:rPr>
                <w:sz w:val="20"/>
                <w:szCs w:val="20"/>
              </w:rPr>
              <w:t xml:space="preserve">Senior Developer (4 months, platform push to Lineapelle)</w:t>
            </w:r>
          </w:p>
        </w:tc>
        <w:tc>
          <w:tcPr>
            <w:tcW w:type="dxa" w:w="3000"/>
            <w:shd w:fill="F2F2F2" w:val="clear"/>
          </w:tcPr>
          <w:p>
            <w:r>
              <w:rPr>
                <w:sz w:val="20"/>
                <w:szCs w:val="20"/>
              </w:rPr>
              <w:t xml:space="preserve">€12,000</w:t>
            </w:r>
          </w:p>
        </w:tc>
      </w:tr>
    </w:tbl>
    <w:p>
      <w:pPr>
        <w:spacing w:after="150" w:before="100"/>
      </w:pPr>
      <w:r>
        <w:rPr>
          <w:i/>
          <w:iCs/>
          <w:color w:val="555555"/>
          <w:sz w:val="20"/>
          <w:szCs w:val="20"/>
        </w:rPr>
        <w:t xml:space="preserve">Team scales in later years: Alexander Trapeznikov (Senior ML) and Ulyana Martynova (ML Designer) join from Year 2; dedicated sales and customer success roles are added as revenue grows. Full role-by-role payroll detail available in the Financial Model.</w:t>
      </w:r>
    </w:p>
    <w:p>
      <w:pPr>
        <w:pStyle w:val="Heading1"/>
        <w:spacing w:after="150" w:before="300"/>
      </w:pPr>
      <w:r>
        <w:rPr>
          <w:b/>
          <w:bCs/>
          <w:color w:val="1E2761"/>
          <w:sz w:val="30"/>
          <w:szCs w:val="30"/>
        </w:rPr>
        <w:t xml:space="preserve">10. Funding</w:t>
      </w:r>
    </w:p>
    <w:p>
      <w:pPr>
        <w:spacing w:after="150"/>
      </w:pPr>
      <w:r>
        <w:rPr>
          <w:sz w:val="22"/>
          <w:szCs w:val="22"/>
        </w:rPr>
        <w:t xml:space="preserve">ANKKA is raising €320,000 in seed capital in exchange for 10% equity.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c>
          <w:tcPr>
            <w:tcW w:type="dxa" w:w="3000"/>
            <w:shd w:fill="1E2761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Category</w:t>
            </w:r>
          </w:p>
        </w:tc>
        <w:tc>
          <w:tcPr>
            <w:tcW w:type="dxa" w:w="3000"/>
            <w:shd w:fill="1E2761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  <w:tc>
          <w:tcPr>
            <w:tcW w:type="dxa" w:w="3000"/>
            <w:shd w:fill="1E2761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%</w:t>
            </w:r>
          </w:p>
        </w:tc>
      </w:tr>
      <w:tr>
        <w:tc>
          <w:tcPr>
            <w:tcW w:type="dxa" w:w="3000"/>
            <w:shd w:fill="FFFFFF" w:val="clear"/>
          </w:tcPr>
          <w:p>
            <w:r>
              <w:rPr>
                <w:sz w:val="20"/>
                <w:szCs w:val="20"/>
              </w:rPr>
              <w:t xml:space="preserve">Team &amp; Payroll (Year 1)</w:t>
            </w:r>
          </w:p>
        </w:tc>
        <w:tc>
          <w:tcPr>
            <w:tcW w:type="dxa" w:w="3000"/>
            <w:shd w:fill="FFFFFF" w:val="clear"/>
          </w:tcPr>
          <w:p>
            <w:r>
              <w:rPr>
                <w:sz w:val="20"/>
                <w:szCs w:val="20"/>
              </w:rPr>
              <w:t xml:space="preserve">€97,000</w:t>
            </w:r>
          </w:p>
        </w:tc>
        <w:tc>
          <w:tcPr>
            <w:tcW w:type="dxa" w:w="3000"/>
            <w:shd w:fill="FFFFFF" w:val="clear"/>
          </w:tcPr>
          <w:p>
            <w:r>
              <w:rPr>
                <w:sz w:val="20"/>
                <w:szCs w:val="20"/>
              </w:rPr>
              <w:t xml:space="preserve">30.3%</w:t>
            </w:r>
          </w:p>
        </w:tc>
      </w:tr>
      <w:tr>
        <w:tc>
          <w:tcPr>
            <w:tcW w:type="dxa" w:w="3000"/>
            <w:shd w:fill="F2F2F2" w:val="clear"/>
          </w:tcPr>
          <w:p>
            <w:r>
              <w:rPr>
                <w:sz w:val="20"/>
                <w:szCs w:val="20"/>
              </w:rPr>
              <w:t xml:space="preserve">China Sourcing Trip (Guangzhou + Wenzhou)</w:t>
            </w:r>
          </w:p>
        </w:tc>
        <w:tc>
          <w:tcPr>
            <w:tcW w:type="dxa" w:w="3000"/>
            <w:shd w:fill="F2F2F2" w:val="clear"/>
          </w:tcPr>
          <w:p>
            <w:r>
              <w:rPr>
                <w:sz w:val="20"/>
                <w:szCs w:val="20"/>
              </w:rPr>
              <w:t xml:space="preserve">€8,000</w:t>
            </w:r>
          </w:p>
        </w:tc>
        <w:tc>
          <w:tcPr>
            <w:tcW w:type="dxa" w:w="3000"/>
            <w:shd w:fill="F2F2F2" w:val="clear"/>
          </w:tcPr>
          <w:p>
            <w:r>
              <w:rPr>
                <w:sz w:val="20"/>
                <w:szCs w:val="20"/>
              </w:rPr>
              <w:t xml:space="preserve">2.5%</w:t>
            </w:r>
          </w:p>
        </w:tc>
      </w:tr>
      <w:tr>
        <w:tc>
          <w:tcPr>
            <w:tcW w:type="dxa" w:w="3000"/>
            <w:shd w:fill="FFFFFF" w:val="clear"/>
          </w:tcPr>
          <w:p>
            <w:r>
              <w:rPr>
                <w:sz w:val="20"/>
                <w:szCs w:val="20"/>
              </w:rPr>
              <w:t xml:space="preserve">Trade Fairs &amp; Industry Events</w:t>
            </w:r>
          </w:p>
        </w:tc>
        <w:tc>
          <w:tcPr>
            <w:tcW w:type="dxa" w:w="3000"/>
            <w:shd w:fill="FFFFFF" w:val="clear"/>
          </w:tcPr>
          <w:p>
            <w:r>
              <w:rPr>
                <w:sz w:val="20"/>
                <w:szCs w:val="20"/>
              </w:rPr>
              <w:t xml:space="preserve">€3,000</w:t>
            </w:r>
          </w:p>
        </w:tc>
        <w:tc>
          <w:tcPr>
            <w:tcW w:type="dxa" w:w="3000"/>
            <w:shd w:fill="FFFFFF" w:val="clear"/>
          </w:tcPr>
          <w:p>
            <w:r>
              <w:rPr>
                <w:sz w:val="20"/>
                <w:szCs w:val="20"/>
              </w:rPr>
              <w:t xml:space="preserve">0.9%</w:t>
            </w:r>
          </w:p>
        </w:tc>
      </w:tr>
      <w:tr>
        <w:tc>
          <w:tcPr>
            <w:tcW w:type="dxa" w:w="3000"/>
            <w:shd w:fill="F2F2F2" w:val="clear"/>
          </w:tcPr>
          <w:p>
            <w:r>
              <w:rPr>
                <w:sz w:val="20"/>
                <w:szCs w:val="20"/>
              </w:rPr>
              <w:t xml:space="preserve">Infrastructure (GPU/hosting)</w:t>
            </w:r>
          </w:p>
        </w:tc>
        <w:tc>
          <w:tcPr>
            <w:tcW w:type="dxa" w:w="3000"/>
            <w:shd w:fill="F2F2F2" w:val="clear"/>
          </w:tcPr>
          <w:p>
            <w:r>
              <w:rPr>
                <w:sz w:val="20"/>
                <w:szCs w:val="20"/>
              </w:rPr>
              <w:t xml:space="preserve">€6,000</w:t>
            </w:r>
          </w:p>
        </w:tc>
        <w:tc>
          <w:tcPr>
            <w:tcW w:type="dxa" w:w="3000"/>
            <w:shd w:fill="F2F2F2" w:val="clear"/>
          </w:tcPr>
          <w:p>
            <w:r>
              <w:rPr>
                <w:sz w:val="20"/>
                <w:szCs w:val="20"/>
              </w:rPr>
              <w:t xml:space="preserve">1.9%</w:t>
            </w:r>
          </w:p>
        </w:tc>
      </w:tr>
      <w:tr>
        <w:tc>
          <w:tcPr>
            <w:tcW w:type="dxa" w:w="3000"/>
            <w:shd w:fill="FFFFFF" w:val="clear"/>
          </w:tcPr>
          <w:p>
            <w:r>
              <w:rPr>
                <w:sz w:val="20"/>
                <w:szCs w:val="20"/>
              </w:rPr>
              <w:t xml:space="preserve">Legal &amp; Admin</w:t>
            </w:r>
          </w:p>
        </w:tc>
        <w:tc>
          <w:tcPr>
            <w:tcW w:type="dxa" w:w="3000"/>
            <w:shd w:fill="FFFFFF" w:val="clear"/>
          </w:tcPr>
          <w:p>
            <w:r>
              <w:rPr>
                <w:sz w:val="20"/>
                <w:szCs w:val="20"/>
              </w:rPr>
              <w:t xml:space="preserve">€5,000</w:t>
            </w:r>
          </w:p>
        </w:tc>
        <w:tc>
          <w:tcPr>
            <w:tcW w:type="dxa" w:w="3000"/>
            <w:shd w:fill="FFFFFF" w:val="clear"/>
          </w:tcPr>
          <w:p>
            <w:r>
              <w:rPr>
                <w:sz w:val="20"/>
                <w:szCs w:val="20"/>
              </w:rPr>
              <w:t xml:space="preserve">1.6%</w:t>
            </w:r>
          </w:p>
        </w:tc>
      </w:tr>
      <w:tr>
        <w:tc>
          <w:tcPr>
            <w:tcW w:type="dxa" w:w="3000"/>
            <w:shd w:fill="F2F2F2" w:val="clear"/>
          </w:tcPr>
          <w:p>
            <w:r>
              <w:rPr>
                <w:sz w:val="20"/>
                <w:szCs w:val="20"/>
              </w:rPr>
              <w:t xml:space="preserve">Direct Client Meetings &amp; Travel</w:t>
            </w:r>
          </w:p>
        </w:tc>
        <w:tc>
          <w:tcPr>
            <w:tcW w:type="dxa" w:w="3000"/>
            <w:shd w:fill="F2F2F2" w:val="clear"/>
          </w:tcPr>
          <w:p>
            <w:r>
              <w:rPr>
                <w:sz w:val="20"/>
                <w:szCs w:val="20"/>
              </w:rPr>
              <w:t xml:space="preserve">€1,000</w:t>
            </w:r>
          </w:p>
        </w:tc>
        <w:tc>
          <w:tcPr>
            <w:tcW w:type="dxa" w:w="3000"/>
            <w:shd w:fill="F2F2F2" w:val="clear"/>
          </w:tcPr>
          <w:p>
            <w:r>
              <w:rPr>
                <w:sz w:val="20"/>
                <w:szCs w:val="20"/>
              </w:rPr>
              <w:t xml:space="preserve">0.3%</w:t>
            </w:r>
          </w:p>
        </w:tc>
      </w:tr>
      <w:tr>
        <w:tc>
          <w:tcPr>
            <w:tcW w:type="dxa" w:w="3000"/>
            <w:shd w:fill="FFFFFF" w:val="clear"/>
          </w:tcPr>
          <w:p>
            <w:r>
              <w:rPr>
                <w:sz w:val="20"/>
                <w:szCs w:val="20"/>
              </w:rPr>
              <w:t xml:space="preserve">Runway buffer (into Year 2)</w:t>
            </w:r>
          </w:p>
        </w:tc>
        <w:tc>
          <w:tcPr>
            <w:tcW w:type="dxa" w:w="3000"/>
            <w:shd w:fill="FFFFFF" w:val="clear"/>
          </w:tcPr>
          <w:p>
            <w:r>
              <w:rPr>
                <w:sz w:val="20"/>
                <w:szCs w:val="20"/>
              </w:rPr>
              <w:t xml:space="preserve">€200,000</w:t>
            </w:r>
          </w:p>
        </w:tc>
        <w:tc>
          <w:tcPr>
            <w:tcW w:type="dxa" w:w="3000"/>
            <w:shd w:fill="FFFFFF" w:val="clear"/>
          </w:tcPr>
          <w:p>
            <w:r>
              <w:rPr>
                <w:sz w:val="20"/>
                <w:szCs w:val="20"/>
              </w:rPr>
              <w:t xml:space="preserve">62.5%</w:t>
            </w:r>
          </w:p>
        </w:tc>
      </w:tr>
    </w:tbl>
    <w:p>
      <w:pPr>
        <w:spacing w:after="150" w:before="100"/>
      </w:pPr>
      <w:r>
        <w:rPr>
          <w:i/>
          <w:iCs/>
          <w:color w:val="555555"/>
          <w:sz w:val="20"/>
          <w:szCs w:val="20"/>
        </w:rPr>
        <w:t xml:space="preserve">Cap table post-round: Pavel Komarov 40.5%, Irina Kremen 40.5%, Option Pool 9.0% (5.0% allocated to Daria Kostyuk, 4.0% reserved for future hires), Seed Investor 10.0%.</w:t>
      </w:r>
    </w:p>
    <w:p>
      <w:pPr>
        <w:pStyle w:val="Heading1"/>
        <w:spacing w:after="150" w:before="300"/>
      </w:pPr>
      <w:r>
        <w:rPr>
          <w:b/>
          <w:bCs/>
          <w:color w:val="1E2761"/>
          <w:sz w:val="30"/>
          <w:szCs w:val="30"/>
        </w:rPr>
        <w:t xml:space="preserve">11. Vision</w:t>
      </w:r>
    </w:p>
    <w:p>
      <w:pPr>
        <w:spacing w:after="150"/>
      </w:pPr>
      <w:r>
        <w:rPr>
          <w:sz w:val="22"/>
          <w:szCs w:val="22"/>
        </w:rPr>
        <w:t xml:space="preserve">ANKKA aims to become the reference AI-native platform for secondary and tertiary footwear manufacturers globally — reducing R&amp;D time and cost through real, sourced component data and market-aware generation, not demand prediction.</w:t>
      </w:r>
    </w:p>
    <w:p>
      <w:pPr>
        <w:pBdr>
          <w:top w:val="single" w:color="CCCCCC" w:sz="6"/>
        </w:pBdr>
        <w:spacing w:before="400"/>
      </w:pPr>
      <w:r>
        <w:rPr>
          <w:color w:val="555555"/>
          <w:sz w:val="18"/>
          <w:szCs w:val="18"/>
        </w:rPr>
        <w:t xml:space="preserve">ankka.eu   ·   +39 345 706 33 81</w:t>
      </w:r>
    </w:p>
    <w:p>
      <w:pPr>
        <w:spacing w:before="100"/>
      </w:pPr>
      <w:r>
        <w:rPr>
          <w:i/>
          <w:iCs/>
          <w:color w:val="555555"/>
          <w:sz w:val="16"/>
          <w:szCs w:val="16"/>
        </w:rPr>
        <w:t xml:space="preserve">This document is for informational purposes only and does not constitute investment, legal, or financial advice. Forward-looking figures are projections built bottom-up from stated team, funnel, and cost assumptions — not guarantees of future performance.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2026-08-31T05:31:55.695Z</dcterms:created>
  <dcterms:modified xsi:type="dcterms:W3CDTF">2026-08-31T05:31:55.705Z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